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ED339">
      <w:pPr>
        <w:jc w:val="center"/>
        <w:rPr>
          <w:rFonts w:hint="eastAsia" w:ascii="仿宋" w:hAnsi="仿宋" w:eastAsia="仿宋" w:cs="仿宋"/>
          <w:snapToGrid w:val="0"/>
          <w:sz w:val="30"/>
          <w:szCs w:val="30"/>
          <w:lang w:val="en-US" w:eastAsia="zh-CN"/>
        </w:rPr>
      </w:pPr>
      <w:r>
        <w:rPr>
          <w:rFonts w:hint="eastAsia" w:ascii="宋体" w:hAnsi="宋体" w:eastAsia="宋体" w:cs="宋体"/>
          <w:b/>
          <w:bCs/>
          <w:w w:val="71"/>
          <w:sz w:val="72"/>
          <w:szCs w:val="72"/>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730885</wp:posOffset>
                </wp:positionV>
                <wp:extent cx="579564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95645" cy="127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_x0000_s1026" o:spid="_x0000_s1026" o:spt="20" style="position:absolute;left:0pt;margin-left:-1.8pt;margin-top:57.55pt;height:0.1pt;width:456.35pt;z-index:251661312;mso-width-relative:page;mso-height-relative:page;" filled="f" stroked="t" coordsize="21600,21600" o:gfxdata="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2cHYk&#10;1QAAAAoBAAAPAAAAAAAAAAEAIAAAACIAAABkcnMvZG93bnJldi54bWxQSwECFAAUAAAACACHTuJA&#10;18cBjOsBAAC1AwAADgAAAAAAAAABACAAAAAkAQAAZHJzL2Uyb0RvYy54bWxQSwUGAAAAAAYABgBZ&#10;AQAAgQUAAAAA&#10;">
                <v:fill on="f" focussize="0,0"/>
                <v:stroke weight="1.5pt" color="#FF0000 [3204]" miterlimit="8" joinstyle="miter"/>
                <v:imagedata o:title=""/>
                <o:lock v:ext="edit" aspectratio="f"/>
              </v:line>
            </w:pict>
          </mc:Fallback>
        </mc:AlternateContent>
      </w:r>
      <w:r>
        <w:rPr>
          <w:rFonts w:hint="eastAsia" w:ascii="宋体" w:hAnsi="宋体" w:eastAsia="宋体" w:cs="宋体"/>
          <w:b/>
          <w:bCs/>
          <w:color w:val="FF0000"/>
          <w:spacing w:val="6"/>
          <w:w w:val="71"/>
          <w:sz w:val="72"/>
          <w:szCs w:val="72"/>
        </w:rPr>
        <w:t>内黄县先进制造业</w:t>
      </w:r>
      <w:r>
        <w:rPr>
          <w:rFonts w:hint="eastAsia" w:ascii="宋体" w:hAnsi="宋体" w:eastAsia="宋体" w:cs="宋体"/>
          <w:b/>
          <w:bCs/>
          <w:color w:val="FF0000"/>
          <w:spacing w:val="6"/>
          <w:w w:val="71"/>
          <w:sz w:val="72"/>
          <w:szCs w:val="72"/>
          <w:lang w:eastAsia="zh-CN"/>
        </w:rPr>
        <w:t>开发区行政审批局</w:t>
      </w:r>
      <w:r>
        <w:rPr>
          <w:rFonts w:hint="eastAsia" w:ascii="宋体" w:hAnsi="宋体" w:eastAsia="宋体" w:cs="宋体"/>
          <w:b/>
          <w:bCs/>
          <w:w w:val="71"/>
          <w:sz w:val="92"/>
          <w:szCs w:val="92"/>
        </w:rPr>
        <mc:AlternateContent>
          <mc:Choice Requires="wps">
            <w:drawing>
              <wp:anchor distT="0" distB="0" distL="114300" distR="114300" simplePos="0" relativeHeight="251662336" behindDoc="0" locked="0" layoutInCell="1" allowOverlap="1">
                <wp:simplePos x="0" y="0"/>
                <wp:positionH relativeFrom="column">
                  <wp:posOffset>-17145</wp:posOffset>
                </wp:positionH>
                <wp:positionV relativeFrom="paragraph">
                  <wp:posOffset>791845</wp:posOffset>
                </wp:positionV>
                <wp:extent cx="5789930" cy="5080"/>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789930" cy="508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35pt;margin-top:62.35pt;height:0.4pt;width:455.9pt;z-index:251662336;mso-width-relative:page;mso-height-relative:page;" filled="f" stroked="t" coordsize="21600,21600" o:gfxdata="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SX3cqNgAAAAKAQAADwAAAAAAAAABACAAAAAiAAAAZHJzL2Rvd25yZXYueG1sUEsBAhQA&#10;FAAAAAgAh07iQKCMHVPyAQAAvgMAAA4AAAAAAAAAAQAgAAAAJwEAAGRycy9lMm9Eb2MueG1sUEsF&#10;BgAAAAAGAAYAWQEAAIsFAAAAAA==&#10;">
                <v:fill on="f" focussize="0,0"/>
                <v:stroke weight="0.5pt" color="#FF0000 [3200]" miterlimit="8" joinstyle="miter"/>
                <v:imagedata o:title=""/>
                <o:lock v:ext="edit" aspectratio="f"/>
              </v:line>
            </w:pict>
          </mc:Fallback>
        </mc:AlternateContent>
      </w:r>
      <w:r>
        <w:rPr>
          <w:rFonts w:hint="eastAsia" w:ascii="宋体" w:hAnsi="宋体" w:eastAsia="宋体" w:cs="宋体"/>
          <w:b/>
          <w:bCs/>
          <w:color w:val="FF0000"/>
          <w:spacing w:val="28"/>
          <w:w w:val="100"/>
          <w:sz w:val="52"/>
          <w:szCs w:val="52"/>
        </w:rPr>
        <mc:AlternateContent>
          <mc:Choice Requires="wps">
            <w:drawing>
              <wp:anchor distT="0" distB="0" distL="114300" distR="114300" simplePos="0" relativeHeight="251660288" behindDoc="0" locked="0" layoutInCell="1" allowOverlap="1">
                <wp:simplePos x="0" y="0"/>
                <wp:positionH relativeFrom="column">
                  <wp:posOffset>2709545</wp:posOffset>
                </wp:positionH>
                <wp:positionV relativeFrom="paragraph">
                  <wp:posOffset>-121920</wp:posOffset>
                </wp:positionV>
                <wp:extent cx="9525" cy="0"/>
                <wp:effectExtent l="0" t="0" r="0" b="0"/>
                <wp:wrapNone/>
                <wp:docPr id="1" name="直接连接符 1"/>
                <wp:cNvGraphicFramePr/>
                <a:graphic xmlns:a="http://schemas.openxmlformats.org/drawingml/2006/main">
                  <a:graphicData uri="http://schemas.microsoft.com/office/word/2010/wordprocessingShape">
                    <wps:wsp>
                      <wps:cNvCnPr/>
                      <wps:spPr>
                        <a:xfrm flipH="1">
                          <a:off x="1004570" y="1544320"/>
                          <a:ext cx="9525" cy="0"/>
                        </a:xfrm>
                        <a:prstGeom prst="line">
                          <a:avLst/>
                        </a:prstGeom>
                        <a:ln w="1270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213.35pt;margin-top:-9.6pt;height:0pt;width:0.75pt;z-index:251660288;mso-width-relative:page;mso-height-relative:page;" filled="f" stroked="t" coordsize="21600,21600" o:gfxdata="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ATScV2AAAAAsBAAAPAAAAAAAAAAEAIAAAACIAAABkcnMvZG93bnJldi54bWxQ&#10;SwECFAAUAAAACACHTuJAfsUPz/cBAADFAwAADgAAAAAAAAABACAAAAAnAQAAZHJzL2Uyb0RvYy54&#10;bWxQSwUGAAAAAAYABgBZAQAAkAUAAAAA&#10;">
                <v:fill on="f" focussize="0,0"/>
                <v:stroke weight="1pt" color="#FF0000 [3200]" miterlimit="8" joinstyle="miter"/>
                <v:imagedata o:title=""/>
                <o:lock v:ext="edit" aspectratio="f"/>
              </v:line>
            </w:pict>
          </mc:Fallback>
        </mc:AlternateContent>
      </w:r>
    </w:p>
    <w:p w14:paraId="33CD3122">
      <w:pPr>
        <w:keepNext w:val="0"/>
        <w:keepLines w:val="0"/>
        <w:pageBreakBefore w:val="0"/>
        <w:widowControl w:val="0"/>
        <w:tabs>
          <w:tab w:val="left" w:pos="7230"/>
        </w:tabs>
        <w:kinsoku/>
        <w:wordWrap/>
        <w:overflowPunct/>
        <w:topLinePunct w:val="0"/>
        <w:autoSpaceDE/>
        <w:autoSpaceDN/>
        <w:bidi w:val="0"/>
        <w:adjustRightInd w:val="0"/>
        <w:snapToGrid w:val="0"/>
        <w:spacing w:before="120" w:beforeLines="50" w:line="560" w:lineRule="exact"/>
        <w:ind w:left="0" w:leftChars="0" w:right="-181" w:rightChars="-86" w:firstLine="0" w:firstLineChars="0"/>
        <w:jc w:val="center"/>
        <w:textAlignment w:val="auto"/>
        <w:outlineLvl w:val="9"/>
        <w:rPr>
          <w:rFonts w:hint="eastAsia" w:ascii="仿宋" w:hAnsi="仿宋" w:eastAsia="仿宋" w:cs="仿宋"/>
          <w:snapToGrid w:val="0"/>
          <w:sz w:val="30"/>
          <w:szCs w:val="30"/>
          <w:lang w:val="en-US" w:eastAsia="zh-CN"/>
        </w:rPr>
      </w:pPr>
      <w:r>
        <w:rPr>
          <w:rFonts w:hint="eastAsia" w:ascii="仿宋" w:hAnsi="仿宋" w:eastAsia="仿宋" w:cs="仿宋"/>
          <w:snapToGrid w:val="0"/>
          <w:sz w:val="30"/>
          <w:szCs w:val="30"/>
          <w:lang w:val="en-US" w:eastAsia="zh-CN"/>
        </w:rPr>
        <w:t xml:space="preserve">                                      </w:t>
      </w:r>
    </w:p>
    <w:p w14:paraId="3C0C4226">
      <w:pPr>
        <w:keepNext w:val="0"/>
        <w:keepLines w:val="0"/>
        <w:pageBreakBefore w:val="0"/>
        <w:widowControl w:val="0"/>
        <w:tabs>
          <w:tab w:val="left" w:pos="7230"/>
        </w:tabs>
        <w:kinsoku/>
        <w:wordWrap/>
        <w:overflowPunct/>
        <w:topLinePunct w:val="0"/>
        <w:autoSpaceDE/>
        <w:autoSpaceDN/>
        <w:bidi w:val="0"/>
        <w:adjustRightInd w:val="0"/>
        <w:snapToGrid w:val="0"/>
        <w:spacing w:before="120" w:beforeLines="50" w:line="560" w:lineRule="exact"/>
        <w:ind w:left="0" w:leftChars="0" w:right="-181" w:rightChars="-86" w:firstLine="0" w:firstLineChars="0"/>
        <w:jc w:val="center"/>
        <w:textAlignment w:val="auto"/>
        <w:outlineLvl w:val="9"/>
        <w:rPr>
          <w:rFonts w:hint="default"/>
          <w:lang w:val="en-US" w:eastAsia="zh-CN"/>
        </w:rPr>
      </w:pPr>
      <w:r>
        <w:rPr>
          <w:rFonts w:hint="eastAsia" w:ascii="仿宋" w:hAnsi="仿宋" w:eastAsia="仿宋" w:cs="仿宋"/>
          <w:snapToGrid w:val="0"/>
          <w:sz w:val="30"/>
          <w:szCs w:val="30"/>
          <w:lang w:val="en-US" w:eastAsia="zh-CN"/>
        </w:rPr>
        <w:t xml:space="preserve">                                        </w:t>
      </w:r>
      <w:r>
        <w:rPr>
          <w:rFonts w:hint="eastAsia" w:ascii="仿宋" w:hAnsi="仿宋" w:eastAsia="仿宋" w:cs="仿宋"/>
          <w:snapToGrid w:val="0"/>
          <w:sz w:val="30"/>
          <w:szCs w:val="30"/>
          <w:lang w:eastAsia="zh-CN"/>
        </w:rPr>
        <w:t>内开环审表</w:t>
      </w:r>
      <w:r>
        <w:rPr>
          <w:rFonts w:hint="eastAsia" w:ascii="仿宋" w:hAnsi="仿宋" w:eastAsia="仿宋" w:cs="仿宋"/>
          <w:snapToGrid w:val="0"/>
          <w:sz w:val="30"/>
          <w:szCs w:val="30"/>
          <w:lang w:val="en-US" w:eastAsia="zh-CN"/>
        </w:rPr>
        <w:t>[</w:t>
      </w:r>
      <w:r>
        <w:rPr>
          <w:rFonts w:hint="eastAsia" w:ascii="仿宋" w:hAnsi="仿宋" w:eastAsia="仿宋" w:cs="仿宋"/>
          <w:snapToGrid w:val="0"/>
          <w:sz w:val="30"/>
          <w:szCs w:val="30"/>
          <w:lang w:eastAsia="zh-CN"/>
        </w:rPr>
        <w:t>20</w:t>
      </w:r>
      <w:r>
        <w:rPr>
          <w:rFonts w:hint="eastAsia" w:ascii="仿宋" w:hAnsi="仿宋" w:eastAsia="仿宋" w:cs="仿宋"/>
          <w:snapToGrid w:val="0"/>
          <w:sz w:val="30"/>
          <w:szCs w:val="30"/>
          <w:lang w:val="en-US" w:eastAsia="zh-CN"/>
        </w:rPr>
        <w:t>24]8号</w:t>
      </w:r>
    </w:p>
    <w:p w14:paraId="13D6C71C">
      <w:pPr>
        <w:spacing w:line="560" w:lineRule="exact"/>
        <w:ind w:right="-181" w:rightChars="-86" w:firstLine="0" w:firstLineChars="0"/>
        <w:jc w:val="center"/>
        <w:rPr>
          <w:rFonts w:hint="eastAsia" w:ascii="方正小标宋简体" w:hAnsi="方正小标宋简体" w:eastAsia="方正小标宋简体" w:cs="方正小标宋简体"/>
          <w:b w:val="0"/>
          <w:bCs w:val="0"/>
          <w:snapToGrid w:val="0"/>
          <w:w w:val="90"/>
          <w:sz w:val="44"/>
          <w:szCs w:val="44"/>
          <w:lang w:val="en-US" w:eastAsia="zh-CN"/>
        </w:rPr>
      </w:pPr>
      <w:r>
        <w:rPr>
          <w:rFonts w:hint="eastAsia" w:ascii="方正小标宋简体" w:hAnsi="方正小标宋简体" w:eastAsia="方正小标宋简体" w:cs="方正小标宋简体"/>
          <w:b w:val="0"/>
          <w:bCs w:val="0"/>
          <w:snapToGrid w:val="0"/>
          <w:w w:val="90"/>
          <w:sz w:val="44"/>
          <w:szCs w:val="44"/>
          <w:lang w:val="en-US" w:eastAsia="zh-CN"/>
        </w:rPr>
        <w:t>内黄县先进制造业开发区行政审批局</w:t>
      </w:r>
    </w:p>
    <w:p w14:paraId="003A039B">
      <w:pPr>
        <w:spacing w:line="560" w:lineRule="exact"/>
        <w:ind w:right="-181" w:rightChars="-86" w:firstLine="0" w:firstLineChars="0"/>
        <w:jc w:val="center"/>
        <w:rPr>
          <w:rFonts w:hint="eastAsia" w:ascii="仿宋_GB2312" w:eastAsia="仿宋_GB2312"/>
          <w:snapToGrid w:val="0"/>
          <w:sz w:val="44"/>
          <w:szCs w:val="44"/>
        </w:rPr>
      </w:pPr>
      <w:r>
        <w:rPr>
          <w:rFonts w:hint="eastAsia" w:ascii="方正小标宋简体" w:hAnsi="方正小标宋简体" w:eastAsia="方正小标宋简体" w:cs="方正小标宋简体"/>
          <w:b w:val="0"/>
          <w:bCs w:val="0"/>
          <w:snapToGrid w:val="0"/>
          <w:w w:val="90"/>
          <w:sz w:val="44"/>
          <w:szCs w:val="44"/>
        </w:rPr>
        <w:t>关于</w:t>
      </w:r>
      <w:r>
        <w:rPr>
          <w:rFonts w:hint="eastAsia" w:ascii="方正小标宋简体" w:hAnsi="方正小标宋简体" w:eastAsia="方正小标宋简体" w:cs="方正小标宋简体"/>
          <w:b w:val="0"/>
          <w:bCs w:val="0"/>
          <w:snapToGrid w:val="0"/>
          <w:w w:val="90"/>
          <w:sz w:val="44"/>
          <w:szCs w:val="44"/>
          <w:lang w:val="en-US" w:eastAsia="zh-CN"/>
        </w:rPr>
        <w:t>安阳天浩生物科技有限公司万吨辣椒深加工项目</w:t>
      </w:r>
      <w:r>
        <w:rPr>
          <w:rFonts w:hint="eastAsia" w:ascii="方正小标宋简体" w:hAnsi="方正小标宋简体" w:eastAsia="方正小标宋简体" w:cs="方正小标宋简体"/>
          <w:b w:val="0"/>
          <w:bCs w:val="0"/>
          <w:sz w:val="44"/>
          <w:szCs w:val="44"/>
        </w:rPr>
        <w:t>环境影响报告表</w:t>
      </w:r>
      <w:r>
        <w:rPr>
          <w:rFonts w:hint="eastAsia" w:ascii="方正小标宋简体" w:hAnsi="方正小标宋简体" w:eastAsia="方正小标宋简体" w:cs="方正小标宋简体"/>
          <w:b w:val="0"/>
          <w:bCs w:val="0"/>
          <w:snapToGrid w:val="0"/>
          <w:w w:val="90"/>
          <w:sz w:val="44"/>
          <w:szCs w:val="44"/>
        </w:rPr>
        <w:t>的批复</w:t>
      </w:r>
    </w:p>
    <w:p w14:paraId="34669941">
      <w:pPr>
        <w:adjustRightInd w:val="0"/>
        <w:snapToGrid w:val="0"/>
        <w:spacing w:line="560" w:lineRule="exact"/>
        <w:ind w:right="-181" w:rightChars="-86" w:firstLine="22" w:firstLineChars="7"/>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lang w:val="en-US" w:eastAsia="zh-CN"/>
        </w:rPr>
        <w:t xml:space="preserve">安阳天浩生物科技有限公司 </w:t>
      </w:r>
      <w:r>
        <w:rPr>
          <w:rFonts w:hint="eastAsia" w:ascii="仿宋_GB2312" w:hAnsi="仿宋_GB2312" w:eastAsia="仿宋_GB2312" w:cs="仿宋_GB2312"/>
          <w:snapToGrid w:val="0"/>
          <w:sz w:val="32"/>
          <w:szCs w:val="32"/>
        </w:rPr>
        <w:t>：</w:t>
      </w:r>
    </w:p>
    <w:p w14:paraId="124F839B">
      <w:pPr>
        <w:keepNext w:val="0"/>
        <w:keepLines w:val="0"/>
        <w:pageBreakBefore w:val="0"/>
        <w:widowControl w:val="0"/>
        <w:kinsoku/>
        <w:wordWrap/>
        <w:overflowPunct/>
        <w:topLinePunct w:val="0"/>
        <w:autoSpaceDE/>
        <w:autoSpaceDN/>
        <w:bidi w:val="0"/>
        <w:adjustRightInd w:val="0"/>
        <w:snapToGrid w:val="0"/>
        <w:spacing w:line="580" w:lineRule="exact"/>
        <w:ind w:right="0" w:rightChars="0" w:firstLine="640" w:firstLineChars="200"/>
        <w:jc w:val="both"/>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你公司(统一社会信用代码：</w:t>
      </w:r>
      <w:r>
        <w:rPr>
          <w:rFonts w:hint="eastAsia" w:ascii="仿宋_GB2312" w:hAnsi="仿宋_GB2312" w:eastAsia="仿宋_GB2312" w:cs="仿宋_GB2312"/>
          <w:snapToGrid w:val="0"/>
          <w:sz w:val="32"/>
          <w:szCs w:val="32"/>
          <w:lang w:val="en-US" w:eastAsia="zh-CN"/>
        </w:rPr>
        <w:t>91410527MADBJRN20F</w:t>
      </w:r>
      <w:r>
        <w:rPr>
          <w:rFonts w:hint="eastAsia" w:ascii="仿宋_GB2312" w:hAnsi="仿宋_GB2312" w:eastAsia="仿宋_GB2312" w:cs="仿宋_GB2312"/>
          <w:snapToGrid w:val="0"/>
          <w:sz w:val="32"/>
          <w:szCs w:val="32"/>
        </w:rPr>
        <w:t>)上报的由</w:t>
      </w:r>
      <w:r>
        <w:rPr>
          <w:rFonts w:hint="eastAsia" w:ascii="仿宋_GB2312" w:hAnsi="仿宋_GB2312" w:eastAsia="仿宋_GB2312" w:cs="仿宋_GB2312"/>
          <w:snapToGrid w:val="0"/>
          <w:sz w:val="32"/>
          <w:szCs w:val="32"/>
          <w:lang w:val="en-US" w:eastAsia="zh-CN"/>
        </w:rPr>
        <w:t>河南安环环保科技有限公司</w:t>
      </w:r>
      <w:r>
        <w:rPr>
          <w:rFonts w:hint="eastAsia" w:ascii="仿宋_GB2312" w:hAnsi="仿宋_GB2312" w:eastAsia="仿宋_GB2312" w:cs="仿宋_GB2312"/>
          <w:snapToGrid w:val="0"/>
          <w:sz w:val="32"/>
          <w:szCs w:val="32"/>
        </w:rPr>
        <w:t>编制完成的《</w:t>
      </w:r>
      <w:r>
        <w:rPr>
          <w:rFonts w:hint="eastAsia" w:ascii="仿宋_GB2312" w:hAnsi="仿宋_GB2312" w:eastAsia="仿宋_GB2312" w:cs="仿宋_GB2312"/>
          <w:snapToGrid w:val="0"/>
          <w:sz w:val="32"/>
          <w:szCs w:val="32"/>
          <w:lang w:val="en-US" w:eastAsia="zh-CN"/>
        </w:rPr>
        <w:t>安阳天浩生物科技有限公司万吨辣椒深加工项目</w:t>
      </w:r>
      <w:r>
        <w:rPr>
          <w:rFonts w:hint="eastAsia" w:ascii="仿宋_GB2312" w:hAnsi="仿宋_GB2312" w:eastAsia="仿宋_GB2312" w:cs="仿宋_GB2312"/>
          <w:b w:val="0"/>
          <w:bCs w:val="0"/>
          <w:snapToGrid w:val="0"/>
          <w:sz w:val="32"/>
          <w:szCs w:val="32"/>
        </w:rPr>
        <w:t>环境影响报告表（</w:t>
      </w:r>
      <w:r>
        <w:rPr>
          <w:rFonts w:hint="eastAsia" w:ascii="仿宋_GB2312" w:hAnsi="仿宋_GB2312" w:eastAsia="仿宋_GB2312" w:cs="仿宋_GB2312"/>
          <w:snapToGrid w:val="0"/>
          <w:sz w:val="32"/>
          <w:szCs w:val="32"/>
          <w:lang w:val="en-US" w:eastAsia="zh-CN"/>
        </w:rPr>
        <w:t>污染影响类</w:t>
      </w:r>
      <w:r>
        <w:rPr>
          <w:rFonts w:hint="eastAsia" w:ascii="仿宋_GB2312" w:hAnsi="仿宋_GB2312" w:eastAsia="仿宋_GB2312" w:cs="仿宋_GB2312"/>
          <w:snapToGrid w:val="0"/>
          <w:sz w:val="32"/>
          <w:szCs w:val="32"/>
        </w:rPr>
        <w:t>）》（以下简称《报告表》）收悉。该项目审批事项在内黄县政府网站公示期满。根据《中华人民共和国环境保护法》</w:t>
      </w:r>
      <w:r>
        <w:rPr>
          <w:rFonts w:hint="eastAsia" w:ascii="仿宋_GB2312" w:hAnsi="仿宋_GB2312" w:eastAsia="仿宋_GB2312" w:cs="仿宋_GB2312"/>
          <w:snapToGrid w:val="0"/>
          <w:sz w:val="32"/>
          <w:szCs w:val="32"/>
          <w:lang w:val="en-US" w:eastAsia="zh-CN"/>
        </w:rPr>
        <w:t>第十九条、</w:t>
      </w:r>
      <w:r>
        <w:rPr>
          <w:rFonts w:hint="eastAsia" w:ascii="仿宋_GB2312" w:hAnsi="仿宋_GB2312" w:eastAsia="仿宋_GB2312" w:cs="仿宋_GB2312"/>
          <w:snapToGrid w:val="0"/>
          <w:sz w:val="32"/>
          <w:szCs w:val="32"/>
        </w:rPr>
        <w:t>《中华人民共和国行政许可法》</w:t>
      </w:r>
      <w:r>
        <w:rPr>
          <w:rFonts w:hint="eastAsia" w:ascii="仿宋_GB2312" w:hAnsi="仿宋_GB2312" w:eastAsia="仿宋_GB2312" w:cs="仿宋_GB2312"/>
          <w:snapToGrid w:val="0"/>
          <w:sz w:val="32"/>
          <w:szCs w:val="32"/>
          <w:lang w:val="en-US" w:eastAsia="zh-CN"/>
        </w:rPr>
        <w:t>第三十八条、</w:t>
      </w:r>
      <w:r>
        <w:rPr>
          <w:rFonts w:hint="eastAsia" w:ascii="仿宋_GB2312" w:hAnsi="仿宋_GB2312" w:eastAsia="仿宋_GB2312" w:cs="仿宋_GB2312"/>
          <w:snapToGrid w:val="0"/>
          <w:sz w:val="32"/>
          <w:szCs w:val="32"/>
        </w:rPr>
        <w:t>《中华人民共和国环境影响评价法》</w:t>
      </w:r>
      <w:r>
        <w:rPr>
          <w:rFonts w:hint="eastAsia" w:ascii="仿宋_GB2312" w:hAnsi="仿宋_GB2312" w:eastAsia="仿宋_GB2312" w:cs="仿宋_GB2312"/>
          <w:snapToGrid w:val="0"/>
          <w:sz w:val="32"/>
          <w:szCs w:val="32"/>
          <w:lang w:val="en-US" w:eastAsia="zh-CN"/>
        </w:rPr>
        <w:t>第二十二条、</w:t>
      </w:r>
      <w:r>
        <w:rPr>
          <w:rFonts w:hint="eastAsia" w:ascii="仿宋_GB2312" w:hAnsi="仿宋_GB2312" w:eastAsia="仿宋_GB2312" w:cs="仿宋_GB2312"/>
          <w:snapToGrid w:val="0"/>
          <w:sz w:val="32"/>
          <w:szCs w:val="32"/>
        </w:rPr>
        <w:t>《建设项目环境保护管理条例》</w:t>
      </w:r>
      <w:r>
        <w:rPr>
          <w:rFonts w:hint="eastAsia" w:ascii="仿宋_GB2312" w:hAnsi="仿宋_GB2312" w:eastAsia="仿宋_GB2312" w:cs="仿宋_GB2312"/>
          <w:snapToGrid w:val="0"/>
          <w:sz w:val="32"/>
          <w:szCs w:val="32"/>
          <w:lang w:val="en-US" w:eastAsia="zh-CN"/>
        </w:rPr>
        <w:t>第九条第二款</w:t>
      </w:r>
      <w:r>
        <w:rPr>
          <w:rFonts w:hint="eastAsia" w:ascii="仿宋_GB2312" w:hAnsi="仿宋_GB2312" w:eastAsia="仿宋_GB2312" w:cs="仿宋_GB2312"/>
          <w:snapToGrid w:val="0"/>
          <w:sz w:val="32"/>
          <w:szCs w:val="32"/>
        </w:rPr>
        <w:t>等法律法规规定，经研究，批复如下：</w:t>
      </w:r>
    </w:p>
    <w:p w14:paraId="48B95B40">
      <w:pPr>
        <w:keepNext w:val="0"/>
        <w:pageBreakBefore w:val="0"/>
        <w:kinsoku/>
        <w:wordWrap/>
        <w:overflowPunct/>
        <w:autoSpaceDE/>
        <w:autoSpaceDN/>
        <w:bidi w:val="0"/>
        <w:adjustRightInd w:val="0"/>
        <w:snapToGrid w:val="0"/>
        <w:spacing w:line="580" w:lineRule="exact"/>
        <w:ind w:right="-181" w:rightChars="-86" w:firstLine="640"/>
        <w:jc w:val="both"/>
        <w:textAlignment w:val="auto"/>
        <w:rPr>
          <w:rFonts w:hint="eastAsia" w:ascii="仿宋_GB2312" w:hAnsi="仿宋_GB2312" w:eastAsia="仿宋_GB2312" w:cs="仿宋_GB2312"/>
          <w:snapToGrid w:val="0"/>
          <w:kern w:val="2"/>
          <w:sz w:val="32"/>
          <w:szCs w:val="32"/>
          <w:lang w:val="en-US" w:eastAsia="zh-CN" w:bidi="ar-SA"/>
        </w:rPr>
      </w:pPr>
      <w:r>
        <w:rPr>
          <w:rFonts w:hint="eastAsia" w:ascii="仿宋_GB2312" w:hAnsi="仿宋_GB2312" w:eastAsia="仿宋_GB2312" w:cs="仿宋_GB2312"/>
          <w:snapToGrid w:val="0"/>
          <w:kern w:val="2"/>
          <w:sz w:val="32"/>
          <w:szCs w:val="32"/>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-36195</wp:posOffset>
                </wp:positionH>
                <wp:positionV relativeFrom="paragraph">
                  <wp:posOffset>2415540</wp:posOffset>
                </wp:positionV>
                <wp:extent cx="5789930" cy="5080"/>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789930" cy="5080"/>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85pt;margin-top:190.2pt;height:0.4pt;width:455.9pt;z-index:251664384;mso-width-relative:page;mso-height-relative:page;" filled="f" stroked="t" coordsize="21600,21600" o:gfxdata="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IYt2tgAAAAKAQAADwAAAAAAAAABACAAAAAiAAAAZHJzL2Rvd25yZXYueG1sUEsBAhQA&#10;FAAAAAgAh07iQOtLpxLyAQAAvgMAAA4AAAAAAAAAAQAgAAAAJwEAAGRycy9lMm9Eb2MueG1sUEsF&#10;BgAAAAAGAAYAWQEAAIsFAAAAAA==&#10;">
                <v:fill on="f" focussize="0,0"/>
                <v:stroke weight="0.5pt" color="#FF0000 [3200]" miterlimit="8" joinstyle="miter"/>
                <v:imagedata o:title=""/>
                <o:lock v:ext="edit" aspectratio="f"/>
              </v:line>
            </w:pict>
          </mc:Fallback>
        </mc:AlternateContent>
      </w:r>
      <w:r>
        <w:rPr>
          <w:rFonts w:hint="eastAsia" w:ascii="仿宋_GB2312" w:hAnsi="仿宋_GB2312" w:eastAsia="仿宋_GB2312" w:cs="仿宋_GB2312"/>
          <w:snapToGrid w:val="0"/>
          <w:kern w:val="2"/>
          <w:sz w:val="32"/>
          <w:szCs w:val="32"/>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-41910</wp:posOffset>
                </wp:positionH>
                <wp:positionV relativeFrom="paragraph">
                  <wp:posOffset>2501265</wp:posOffset>
                </wp:positionV>
                <wp:extent cx="5795645" cy="1270"/>
                <wp:effectExtent l="0" t="0" r="0" b="0"/>
                <wp:wrapNone/>
                <wp:docPr id="3" name="直接连接符 3"/>
                <wp:cNvGraphicFramePr/>
                <a:graphic xmlns:a="http://schemas.openxmlformats.org/drawingml/2006/main">
                  <a:graphicData uri="http://schemas.microsoft.com/office/word/2010/wordprocessingShape">
                    <wps:wsp>
                      <wps:cNvCnPr/>
                      <wps:spPr>
                        <a:xfrm>
                          <a:off x="0" y="0"/>
                          <a:ext cx="5795645" cy="127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_x0000_s1026" o:spid="_x0000_s1026" o:spt="20" style="position:absolute;left:0pt;margin-left:-3.3pt;margin-top:196.95pt;height:0.1pt;width:456.35pt;z-index:251663360;mso-width-relative:page;mso-height-relative:page;" filled="f" stroked="t" coordsize="21600,21600" o:gfxdata="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y5&#10;BK7WAAAACgEAAA8AAAAAAAAAAQAgAAAAIgAAAGRycy9kb3ducmV2LnhtbFBLAQIUABQAAAAIAIdO&#10;4kBuuaM67AEAALUDAAAOAAAAAAAAAAEAIAAAACUBAABkcnMvZTJvRG9jLnhtbFBLBQYAAAAABgAG&#10;AFkBAACDBQAAAAA=&#10;">
                <v:fill on="f" focussize="0,0"/>
                <v:stroke weight="1.5pt" color="#FF0000 [3204]" miterlimit="8" joinstyle="miter"/>
                <v:imagedata o:title=""/>
                <o:lock v:ext="edit" aspectratio="f"/>
              </v:line>
            </w:pict>
          </mc:Fallback>
        </mc:AlternateContent>
      </w:r>
      <w:r>
        <w:rPr>
          <w:rFonts w:hint="eastAsia" w:ascii="仿宋_GB2312" w:hAnsi="仿宋_GB2312" w:eastAsia="仿宋_GB2312" w:cs="仿宋_GB2312"/>
          <w:snapToGrid w:val="0"/>
          <w:kern w:val="2"/>
          <w:sz w:val="32"/>
          <w:szCs w:val="32"/>
          <w:lang w:val="en-US" w:eastAsia="zh-CN" w:bidi="ar-SA"/>
        </w:rPr>
        <w:t>一、该项目位于位于河南省安阳市内黄县先进制造业开发区陶二路与瓷三路交叉口东南角，项目总投资11000万元，其中环保投资200万元，主要建设内容为冷库、厂房、动力及辅助用房和配套环保设施，主要工艺为高辣辣椒加工成辣椒碎—70%食用酒精进行提取—食用酒精回收—提取液进行辣素分离—辣椒油树脂，主要产品为辣椒油树脂。</w:t>
      </w:r>
    </w:p>
    <w:p w14:paraId="5BF07F24">
      <w:pPr>
        <w:keepNext w:val="0"/>
        <w:pageBreakBefore w:val="0"/>
        <w:kinsoku/>
        <w:wordWrap/>
        <w:overflowPunct/>
        <w:autoSpaceDE/>
        <w:autoSpaceDN/>
        <w:bidi w:val="0"/>
        <w:adjustRightInd w:val="0"/>
        <w:snapToGrid w:val="0"/>
        <w:spacing w:line="580" w:lineRule="exact"/>
        <w:ind w:right="-181" w:rightChars="-86" w:firstLine="640"/>
        <w:jc w:val="both"/>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lang w:val="en-US" w:eastAsia="zh-CN"/>
        </w:rPr>
        <w:t>二</w:t>
      </w:r>
      <w:r>
        <w:rPr>
          <w:rFonts w:hint="eastAsia" w:ascii="仿宋_GB2312" w:hAnsi="仿宋_GB2312" w:eastAsia="仿宋_GB2312" w:cs="仿宋_GB2312"/>
          <w:snapToGrid w:val="0"/>
          <w:sz w:val="32"/>
          <w:szCs w:val="32"/>
        </w:rPr>
        <w:t>、该《报告表》内容符合国家有关法律法规要求和建设项目环境管理规定，评价结论可信。我局批准该《报告表》，原则同意你公司按照《报告表》所列项目的性质、规模、地点、采用的生产工艺和环境保护对策措施进行建设。</w:t>
      </w:r>
    </w:p>
    <w:p w14:paraId="7CC5F343">
      <w:pPr>
        <w:keepNext w:val="0"/>
        <w:pageBreakBefore w:val="0"/>
        <w:kinsoku/>
        <w:wordWrap/>
        <w:overflowPunct/>
        <w:autoSpaceDE/>
        <w:autoSpaceDN/>
        <w:bidi w:val="0"/>
        <w:adjustRightInd w:val="0"/>
        <w:snapToGrid w:val="0"/>
        <w:spacing w:line="580" w:lineRule="exact"/>
        <w:ind w:right="-181" w:rightChars="-86" w:firstLine="640"/>
        <w:jc w:val="both"/>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lang w:val="en-US" w:eastAsia="zh-CN"/>
        </w:rPr>
        <w:t>三</w:t>
      </w:r>
      <w:r>
        <w:rPr>
          <w:rFonts w:hint="eastAsia" w:ascii="仿宋_GB2312" w:hAnsi="仿宋_GB2312" w:eastAsia="仿宋_GB2312" w:cs="仿宋_GB2312"/>
          <w:snapToGrid w:val="0"/>
          <w:sz w:val="32"/>
          <w:szCs w:val="32"/>
        </w:rPr>
        <w:t>、你公司应向社会公众主动公开经批准的《报告表》，并接受相关方的垂询。</w:t>
      </w:r>
    </w:p>
    <w:p w14:paraId="24328959">
      <w:pPr>
        <w:keepNext w:val="0"/>
        <w:pageBreakBefore w:val="0"/>
        <w:kinsoku/>
        <w:wordWrap/>
        <w:overflowPunct/>
        <w:autoSpaceDE/>
        <w:autoSpaceDN/>
        <w:bidi w:val="0"/>
        <w:spacing w:line="580" w:lineRule="exact"/>
        <w:ind w:firstLine="640" w:firstLineChars="200"/>
        <w:textAlignment w:val="auto"/>
        <w:rPr>
          <w:rFonts w:hint="eastAsia" w:ascii="仿宋_GB2312" w:hAnsi="仿宋_GB2312" w:eastAsia="仿宋_GB2312" w:cs="仿宋_GB2312"/>
          <w:color w:val="FF0000"/>
          <w:spacing w:val="57"/>
          <w:sz w:val="32"/>
          <w:szCs w:val="32"/>
          <w:u w:val="double"/>
          <w:lang w:val="en-US" w:eastAsia="zh-CN"/>
        </w:rPr>
      </w:pPr>
      <w:r>
        <w:rPr>
          <w:rFonts w:hint="eastAsia" w:ascii="仿宋_GB2312" w:hAnsi="仿宋_GB2312" w:eastAsia="仿宋_GB2312" w:cs="仿宋_GB2312"/>
          <w:snapToGrid w:val="0"/>
          <w:sz w:val="32"/>
          <w:szCs w:val="32"/>
          <w:lang w:val="en-US" w:eastAsia="zh-CN"/>
        </w:rPr>
        <w:t>四</w:t>
      </w:r>
      <w:r>
        <w:rPr>
          <w:rFonts w:hint="eastAsia" w:ascii="仿宋_GB2312" w:hAnsi="仿宋_GB2312" w:eastAsia="仿宋_GB2312" w:cs="仿宋_GB2312"/>
          <w:snapToGrid w:val="0"/>
          <w:sz w:val="32"/>
          <w:szCs w:val="32"/>
        </w:rPr>
        <w:t>、你公司应全面落实《报告表》提出的各项环境保护措施，各项环境保护设施与主体工程同时设计、同时施工、同时投入使用，确保各项污染物达标排放。</w:t>
      </w:r>
    </w:p>
    <w:p w14:paraId="738658B6">
      <w:pPr>
        <w:keepNext w:val="0"/>
        <w:pageBreakBefore w:val="0"/>
        <w:kinsoku/>
        <w:wordWrap/>
        <w:overflowPunct/>
        <w:autoSpaceDE/>
        <w:autoSpaceDN/>
        <w:bidi w:val="0"/>
        <w:adjustRightInd w:val="0"/>
        <w:snapToGrid w:val="0"/>
        <w:spacing w:line="580" w:lineRule="exact"/>
        <w:ind w:right="-181" w:rightChars="-86" w:firstLine="640"/>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（一）向设计单位提供《报告表》和本批复文件，确保项目设计符合环境保护设计规范要求，落实防治环境污染和生态破坏的措施。</w:t>
      </w:r>
    </w:p>
    <w:p w14:paraId="40B755A1">
      <w:pPr>
        <w:keepNext w:val="0"/>
        <w:pageBreakBefore w:val="0"/>
        <w:kinsoku/>
        <w:wordWrap/>
        <w:overflowPunct/>
        <w:autoSpaceDE/>
        <w:autoSpaceDN/>
        <w:bidi w:val="0"/>
        <w:adjustRightInd w:val="0"/>
        <w:snapToGrid w:val="0"/>
        <w:spacing w:line="580" w:lineRule="exact"/>
        <w:ind w:right="-181" w:rightChars="-86" w:firstLine="640"/>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（二）依据《报告表》和本批复文件，对项目建设过程中产生的废水、废气、固体废物、噪声及振动等污染，以及因施工对自然、生态环境造成的破坏，采取相应的防治措施。</w:t>
      </w:r>
    </w:p>
    <w:p w14:paraId="46D00A1D">
      <w:pPr>
        <w:keepNext w:val="0"/>
        <w:keepLines/>
        <w:pageBreakBefore w:val="0"/>
        <w:widowControl/>
        <w:kinsoku/>
        <w:wordWrap/>
        <w:overflowPunct/>
        <w:topLinePunct/>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（三）项目运行时，外排污染物应满足以下要求：</w:t>
      </w:r>
    </w:p>
    <w:p w14:paraId="550C0ADC">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32"/>
          <w:szCs w:val="32"/>
          <w14:textFill>
            <w14:solidFill>
              <w14:schemeClr w14:val="tx1"/>
            </w14:solidFill>
          </w14:textFill>
        </w:rPr>
        <w:t>废气：</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本项目运营期废气主要为辣椒绞碎废气、辣素油提取过程中的烘干废气及溶剂回收废气、食堂油烟、化验室废气、低氮冷凝备用锅炉废气等。辣椒绞碎废气通过绞碎机上方集气罩收集后经覆膜袋式除尘器处理后，由1根15m高排气筒（DA001）排放；提取生产线废气采用“冻干式冷凝器+喷淋”处理后，由一根15m高排气筒（DA002）排放；食堂油烟由油烟净化器处理后，经烟道引至屋顶排放；化验室废气排放量较小，经换气排放装置，排入空气中。排放废气应满足《大气污染物综合排放标准》（GB16297-1996）、《关于全省开展工业企业挥发性有机物专项治理工作中排放建议值的通知》（豫环攻坚办[2017]162号）限值要求、《安阳市2019年工业大气污染治理5个专项实施方案》（安环攻坚办[2019]196号）中相关标准。低氮冷凝备用锅炉废气通过一根不低于8m的排气筒排放（DA003）。排放废气应满足《锅炉大气污染物排放标准》（DB41/2089-2021）中相关标准。</w:t>
      </w:r>
    </w:p>
    <w:p w14:paraId="6B82AC73">
      <w:pPr>
        <w:keepNext w:val="0"/>
        <w:pageBreakBefore w:val="0"/>
        <w:kinsoku/>
        <w:wordWrap/>
        <w:overflowPunct/>
        <w:autoSpaceDE/>
        <w:autoSpaceDN/>
        <w:bidi w:val="0"/>
        <w:spacing w:line="58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废水：</w:t>
      </w:r>
      <w:r>
        <w:rPr>
          <w:rFonts w:hint="eastAsia" w:ascii="仿宋_GB2312" w:hAnsi="仿宋_GB2312" w:eastAsia="仿宋_GB2312" w:cs="仿宋_GB2312"/>
          <w:b w:val="0"/>
          <w:bCs w:val="0"/>
          <w:sz w:val="32"/>
          <w:szCs w:val="32"/>
          <w:lang w:val="en-US" w:eastAsia="zh-CN"/>
        </w:rPr>
        <w:t>本项目运营期用水主要为喷淋用水、化验室清洗废水、循环冷却水、乙醇调配用水、蒸汽冷凝水。喷淋用水、循环冷却水、乙醇调配用水循环使用，不外排；化验室清洗废水在化验室器皿内预处理后进入厂区化粪池处理，处理后排入集聚区污水管网；蒸汽冷凝水部分回用于生产，剩余部分回用于厂内备用锅炉或通过管道运输至安阳瑞美达清洁能源有限公司综合利用，不外排。生活废水主要为职工生活污水；生活污水经化粪池（50m3）预处理后，应通过集聚区污水管网进入内黄县碧水源污水处理厂集中处理后，达标排放。出厂废水应满足《污水综合排放标准》（GB8978-1996）表4三级标准，同时应满足内黄县碧水源污水处理厂进水水质标准。</w:t>
      </w:r>
      <w:bookmarkStart w:id="0" w:name="_GoBack"/>
      <w:bookmarkEnd w:id="0"/>
    </w:p>
    <w:p w14:paraId="1069A39E">
      <w:pPr>
        <w:keepNext w:val="0"/>
        <w:pageBreakBefore w:val="0"/>
        <w:kinsoku/>
        <w:wordWrap/>
        <w:overflowPunct/>
        <w:autoSpaceDE/>
        <w:autoSpaceDN/>
        <w:bidi w:val="0"/>
        <w:spacing w:line="58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噪声：</w:t>
      </w:r>
      <w:r>
        <w:rPr>
          <w:rFonts w:hint="eastAsia" w:ascii="仿宋_GB2312" w:hAnsi="仿宋_GB2312" w:eastAsia="仿宋_GB2312" w:cs="仿宋_GB2312"/>
          <w:b w:val="0"/>
          <w:bCs w:val="0"/>
          <w:sz w:val="32"/>
          <w:szCs w:val="32"/>
          <w:lang w:val="en-US" w:eastAsia="zh-CN"/>
        </w:rPr>
        <w:t>本项目所处地区位于《声环境质量标准》GB3096-2008）中的3类地区，经优化设计、隔声降噪处理，厂房墙体屏障、绿化树木吸收屏障、空气吸收、距离衰减后项目噪声对厂界贡献值较小，应确保厂界噪声贡献值满足《工业企业厂界环境噪声排放标准》（GB12348-2008）中3类限值要求（昼间≤65dB（A），夜间≤55dB（A）。</w:t>
      </w:r>
    </w:p>
    <w:p w14:paraId="02BE6A0F">
      <w:pPr>
        <w:keepNext w:val="0"/>
        <w:pageBreakBefore w:val="0"/>
        <w:kinsoku/>
        <w:wordWrap/>
        <w:overflowPunct/>
        <w:autoSpaceDE/>
        <w:autoSpaceDN/>
        <w:bidi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固废</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val="en-US" w:eastAsia="zh-CN"/>
        </w:rPr>
        <w:t>本项目运营期固体废物主要为职工生活垃圾和除尘灰（收集的辣椒颗粒），生活垃圾应实行袋装化，设置垃圾桶，由专人定期收集清理，交由环卫部门统一收集处理。各类一般固体废物应分类有序堆存，同时设置一般固体废物标识牌，一般固废暂存处应满足《一般工业固体废物贮存和填埋污染控制标准》（GB18599-2020）相关要求。</w:t>
      </w:r>
    </w:p>
    <w:p w14:paraId="0B7B359F">
      <w:pPr>
        <w:keepNext w:val="0"/>
        <w:pageBreakBefore w:val="0"/>
        <w:kinsoku/>
        <w:wordWrap/>
        <w:overflowPunct/>
        <w:autoSpaceDE/>
        <w:autoSpaceDN/>
        <w:bidi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（四）按国家有关规定设置规范的污染物排放口，并设立明显标志。</w:t>
      </w:r>
    </w:p>
    <w:p w14:paraId="4835178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经安阳市生态环境局内黄分局审核，主要新增颗粒物0.0205t/a，倍量替代后0.041t/a，由安阳瑞美达清洁能源公司减排量替代；VOCs0.0772t/a倍量替代后0.1544t/a，由河南合众汇金石油机械装备有限公司减排量替代。废水出厂界的污染物排放量为COD0.2218t/a、氨氮0.0192t/a，排入外环境的量为</w:t>
      </w:r>
      <w:r>
        <w:rPr>
          <w:rFonts w:hint="eastAsia" w:ascii="仿宋_GB2312" w:hAnsi="仿宋_GB2312" w:eastAsia="仿宋_GB2312" w:cs="仿宋_GB2312"/>
          <w:b w:val="0"/>
          <w:bCs/>
          <w:color w:val="auto"/>
          <w:sz w:val="32"/>
          <w:szCs w:val="32"/>
          <w:lang w:val="en-US" w:eastAsia="zh-CN"/>
        </w:rPr>
        <w:t>COD0.0396t/a、氨氮0.004t/a</w:t>
      </w:r>
      <w:r>
        <w:rPr>
          <w:rFonts w:hint="eastAsia" w:ascii="仿宋_GB2312" w:hAnsi="仿宋_GB2312" w:eastAsia="仿宋_GB2312" w:cs="仿宋_GB2312"/>
          <w:color w:val="auto"/>
          <w:sz w:val="32"/>
          <w:szCs w:val="32"/>
          <w:highlight w:val="none"/>
          <w:lang w:val="en-US" w:eastAsia="zh-CN"/>
        </w:rPr>
        <w:t>，由内黄恒曦豆制品厂减排量进行替代。</w:t>
      </w:r>
    </w:p>
    <w:p w14:paraId="6E8583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）如果今后国家或我省颁布污染物排放限制的新标准，届时你公司应按新的排放标准执行。</w:t>
      </w:r>
    </w:p>
    <w:p w14:paraId="45695EA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五、认真落实《报告表》提出的环境风险防范措施和要求，制定污染事故应急防范预案，加强日常管理，防止发生污染事故。</w:t>
      </w:r>
    </w:p>
    <w:p w14:paraId="056D1B5E">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六、项目发生实际排污行为前，按照经批准的环境影响评价文件认真梳理并确认各项环境保护措施落实后，依法申领排污许可证。</w:t>
      </w:r>
    </w:p>
    <w:p w14:paraId="76F6680E">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七、项目建设必须严格执行环境保护设施与主体工程同时设计、同时施工、同时投产使用的环境保护“三同时”制度。项目竣工后，须按规定程序进行竣工环境保护验收，验收合格后，方可投入使用。</w:t>
      </w:r>
    </w:p>
    <w:p w14:paraId="72AB03BC">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八、环境影响报告表经批准后，项目的性质、规模、地点、生产工艺和环境保护措施发生重大变动的，应当依法重新报批项目环境影响报告表。</w:t>
      </w:r>
    </w:p>
    <w:p w14:paraId="7AD4021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九、本批复有效期为5年。如该项目逾期方开工建设，其环境影响报告表应报我局重新审核。</w:t>
      </w:r>
    </w:p>
    <w:p w14:paraId="7B5545F4">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p>
    <w:p w14:paraId="61E8929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p>
    <w:p w14:paraId="3852C44D">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kern w:val="2"/>
          <w:sz w:val="32"/>
          <w:szCs w:val="32"/>
          <w:lang w:val="en-US" w:eastAsia="zh-CN" w:bidi="ar-SA"/>
        </w:rPr>
      </w:pPr>
    </w:p>
    <w:p w14:paraId="427B1EBD">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jc w:val="right"/>
        <w:textAlignment w:val="auto"/>
        <w:rPr>
          <w:rFonts w:hint="eastAsia" w:ascii="仿宋_GB2312" w:hAnsi="仿宋_GB2312" w:eastAsia="仿宋_GB2312" w:cs="仿宋_GB2312"/>
          <w:color w:val="262626"/>
          <w:sz w:val="32"/>
          <w:szCs w:val="32"/>
          <w:lang w:eastAsia="zh-CN"/>
        </w:rPr>
      </w:pPr>
      <w:r>
        <w:rPr>
          <w:rFonts w:hint="eastAsia" w:ascii="仿宋_GB2312" w:hAnsi="仿宋_GB2312" w:eastAsia="仿宋_GB2312" w:cs="仿宋_GB2312"/>
          <w:color w:val="262626"/>
          <w:sz w:val="32"/>
          <w:szCs w:val="32"/>
          <w:lang w:eastAsia="zh-CN"/>
        </w:rPr>
        <w:t>内黄县先进制造业开发区行政审批局</w:t>
      </w:r>
    </w:p>
    <w:p w14:paraId="2488A82F">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5440" w:firstLineChars="1700"/>
        <w:jc w:val="both"/>
        <w:textAlignment w:val="auto"/>
        <w:rPr>
          <w:rFonts w:hint="eastAsia" w:ascii="仿宋_GB2312" w:hAnsi="仿宋_GB2312" w:eastAsia="仿宋_GB2312" w:cs="仿宋_GB2312"/>
          <w:color w:val="262626"/>
          <w:sz w:val="32"/>
          <w:szCs w:val="32"/>
          <w:lang w:val="en-US" w:eastAsia="zh-CN"/>
        </w:rPr>
      </w:pPr>
      <w:r>
        <w:rPr>
          <w:rFonts w:hint="eastAsia" w:ascii="仿宋_GB2312" w:hAnsi="仿宋_GB2312" w:eastAsia="仿宋_GB2312" w:cs="仿宋_GB2312"/>
          <w:color w:val="262626"/>
          <w:sz w:val="32"/>
          <w:szCs w:val="32"/>
        </w:rPr>
        <w:t>20</w:t>
      </w:r>
      <w:r>
        <w:rPr>
          <w:rFonts w:hint="eastAsia" w:ascii="仿宋_GB2312" w:hAnsi="仿宋_GB2312" w:eastAsia="仿宋_GB2312" w:cs="仿宋_GB2312"/>
          <w:color w:val="262626"/>
          <w:sz w:val="32"/>
          <w:szCs w:val="32"/>
          <w:lang w:val="en-US" w:eastAsia="zh-CN"/>
        </w:rPr>
        <w:t>24</w:t>
      </w:r>
      <w:r>
        <w:rPr>
          <w:rFonts w:hint="eastAsia" w:ascii="仿宋_GB2312" w:hAnsi="仿宋_GB2312" w:eastAsia="仿宋_GB2312" w:cs="仿宋_GB2312"/>
          <w:color w:val="262626"/>
          <w:sz w:val="32"/>
          <w:szCs w:val="32"/>
        </w:rPr>
        <w:t>年</w:t>
      </w:r>
      <w:r>
        <w:rPr>
          <w:rFonts w:hint="eastAsia" w:ascii="仿宋_GB2312" w:hAnsi="仿宋_GB2312" w:eastAsia="仿宋_GB2312" w:cs="仿宋_GB2312"/>
          <w:color w:val="262626"/>
          <w:sz w:val="32"/>
          <w:szCs w:val="32"/>
          <w:lang w:val="en-US" w:eastAsia="zh-CN"/>
        </w:rPr>
        <w:t>9</w:t>
      </w:r>
      <w:r>
        <w:rPr>
          <w:rFonts w:hint="eastAsia" w:ascii="仿宋_GB2312" w:hAnsi="仿宋_GB2312" w:eastAsia="仿宋_GB2312" w:cs="仿宋_GB2312"/>
          <w:color w:val="262626"/>
          <w:sz w:val="32"/>
          <w:szCs w:val="32"/>
        </w:rPr>
        <w:t>月</w:t>
      </w:r>
      <w:r>
        <w:rPr>
          <w:rFonts w:hint="eastAsia" w:ascii="仿宋_GB2312" w:hAnsi="仿宋_GB2312" w:eastAsia="仿宋_GB2312" w:cs="仿宋_GB2312"/>
          <w:color w:val="262626"/>
          <w:sz w:val="32"/>
          <w:szCs w:val="32"/>
          <w:lang w:val="en-US" w:eastAsia="zh-CN"/>
        </w:rPr>
        <w:t>27</w:t>
      </w:r>
      <w:r>
        <w:rPr>
          <w:rFonts w:hint="eastAsia" w:ascii="仿宋_GB2312" w:hAnsi="仿宋_GB2312" w:eastAsia="仿宋_GB2312" w:cs="仿宋_GB2312"/>
          <w:color w:val="262626"/>
          <w:sz w:val="32"/>
          <w:szCs w:val="32"/>
        </w:rPr>
        <w:t>日</w:t>
      </w:r>
    </w:p>
    <w:sectPr>
      <w:footerReference r:id="rId3" w:type="default"/>
      <w:pgSz w:w="11906" w:h="16838"/>
      <w:pgMar w:top="1814" w:right="1247" w:bottom="181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043E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187E3">
                          <w:pPr>
                            <w:pStyle w:val="7"/>
                            <w:jc w:val="both"/>
                            <w:rPr>
                              <w:sz w:val="28"/>
                              <w:szCs w:val="28"/>
                            </w:rPr>
                          </w:pPr>
                          <w:r>
                            <w:rPr>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r>
                            <w:rPr>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97187E3">
                    <w:pPr>
                      <w:pStyle w:val="7"/>
                      <w:jc w:val="both"/>
                      <w:rPr>
                        <w:sz w:val="28"/>
                        <w:szCs w:val="28"/>
                      </w:rPr>
                    </w:pPr>
                    <w:r>
                      <w:rPr>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r>
                      <w:rPr>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wZmUzY2U2NDgxNTZkNTEzNjBkYWRiZDExNzNmMzkifQ=="/>
  </w:docVars>
  <w:rsids>
    <w:rsidRoot w:val="00000000"/>
    <w:rsid w:val="012313A8"/>
    <w:rsid w:val="01803287"/>
    <w:rsid w:val="02624152"/>
    <w:rsid w:val="028E0838"/>
    <w:rsid w:val="02EF3D7C"/>
    <w:rsid w:val="031C33FF"/>
    <w:rsid w:val="03A73084"/>
    <w:rsid w:val="03F077C7"/>
    <w:rsid w:val="05B85CB1"/>
    <w:rsid w:val="05BB6053"/>
    <w:rsid w:val="065C2940"/>
    <w:rsid w:val="06835094"/>
    <w:rsid w:val="06D13BF7"/>
    <w:rsid w:val="06F2019A"/>
    <w:rsid w:val="08146233"/>
    <w:rsid w:val="09530A93"/>
    <w:rsid w:val="0A9926DB"/>
    <w:rsid w:val="0B640F3B"/>
    <w:rsid w:val="0BF71B44"/>
    <w:rsid w:val="0CEA0782"/>
    <w:rsid w:val="0CF35DE2"/>
    <w:rsid w:val="0D692839"/>
    <w:rsid w:val="0D996408"/>
    <w:rsid w:val="0DF22E81"/>
    <w:rsid w:val="0E381C9D"/>
    <w:rsid w:val="0E3A0F88"/>
    <w:rsid w:val="0E895CF9"/>
    <w:rsid w:val="0F0D27EF"/>
    <w:rsid w:val="0F7C01F0"/>
    <w:rsid w:val="10967E83"/>
    <w:rsid w:val="11CD5E37"/>
    <w:rsid w:val="13117BFA"/>
    <w:rsid w:val="1337424A"/>
    <w:rsid w:val="1343080D"/>
    <w:rsid w:val="137D46AD"/>
    <w:rsid w:val="145C3ACA"/>
    <w:rsid w:val="15071487"/>
    <w:rsid w:val="161A44EC"/>
    <w:rsid w:val="16720DB1"/>
    <w:rsid w:val="177857A3"/>
    <w:rsid w:val="18215D1E"/>
    <w:rsid w:val="187A2868"/>
    <w:rsid w:val="18C40531"/>
    <w:rsid w:val="198C646E"/>
    <w:rsid w:val="19B2569F"/>
    <w:rsid w:val="1A0213F8"/>
    <w:rsid w:val="1B02691D"/>
    <w:rsid w:val="1BF93CAD"/>
    <w:rsid w:val="1BFE53CF"/>
    <w:rsid w:val="1C6E454C"/>
    <w:rsid w:val="1D0F59A8"/>
    <w:rsid w:val="1D4B6423"/>
    <w:rsid w:val="1D680F69"/>
    <w:rsid w:val="1DCE2742"/>
    <w:rsid w:val="1DEC6E1F"/>
    <w:rsid w:val="1E8103B2"/>
    <w:rsid w:val="1E8B62E2"/>
    <w:rsid w:val="1EA709B1"/>
    <w:rsid w:val="1F114ADE"/>
    <w:rsid w:val="1F684212"/>
    <w:rsid w:val="1F6B5C1D"/>
    <w:rsid w:val="22134335"/>
    <w:rsid w:val="22E93025"/>
    <w:rsid w:val="230015A6"/>
    <w:rsid w:val="231007B4"/>
    <w:rsid w:val="23F70746"/>
    <w:rsid w:val="24594AE4"/>
    <w:rsid w:val="24CD3EBF"/>
    <w:rsid w:val="254839E3"/>
    <w:rsid w:val="256151A3"/>
    <w:rsid w:val="25CE54D7"/>
    <w:rsid w:val="260449D5"/>
    <w:rsid w:val="2722278E"/>
    <w:rsid w:val="27554805"/>
    <w:rsid w:val="282E4478"/>
    <w:rsid w:val="29644161"/>
    <w:rsid w:val="29E7269B"/>
    <w:rsid w:val="2C5618CF"/>
    <w:rsid w:val="2CE645A5"/>
    <w:rsid w:val="2DCF4EA4"/>
    <w:rsid w:val="2DD1370D"/>
    <w:rsid w:val="2E3329B8"/>
    <w:rsid w:val="2EA17C2D"/>
    <w:rsid w:val="2EE25469"/>
    <w:rsid w:val="2F251013"/>
    <w:rsid w:val="2F9C25A2"/>
    <w:rsid w:val="2FB50551"/>
    <w:rsid w:val="30B00B76"/>
    <w:rsid w:val="30FD4A53"/>
    <w:rsid w:val="31B219B8"/>
    <w:rsid w:val="31BA471D"/>
    <w:rsid w:val="31F167D5"/>
    <w:rsid w:val="32854478"/>
    <w:rsid w:val="328F791E"/>
    <w:rsid w:val="337B6D0E"/>
    <w:rsid w:val="34042205"/>
    <w:rsid w:val="345A33D8"/>
    <w:rsid w:val="356B5681"/>
    <w:rsid w:val="36BF3346"/>
    <w:rsid w:val="37BA7BDE"/>
    <w:rsid w:val="37D966E2"/>
    <w:rsid w:val="386677F1"/>
    <w:rsid w:val="3A895093"/>
    <w:rsid w:val="3AC0143A"/>
    <w:rsid w:val="3AFC4BC0"/>
    <w:rsid w:val="3B151DD6"/>
    <w:rsid w:val="3BB31535"/>
    <w:rsid w:val="3C593617"/>
    <w:rsid w:val="3CE170A9"/>
    <w:rsid w:val="3E6A3F02"/>
    <w:rsid w:val="3E6C05F2"/>
    <w:rsid w:val="3E847CC6"/>
    <w:rsid w:val="3F6F6A84"/>
    <w:rsid w:val="3F8F3A20"/>
    <w:rsid w:val="3F9D61EE"/>
    <w:rsid w:val="3FB528EC"/>
    <w:rsid w:val="40195CF3"/>
    <w:rsid w:val="40CC23E1"/>
    <w:rsid w:val="413B3EC3"/>
    <w:rsid w:val="42D33C76"/>
    <w:rsid w:val="43BC292F"/>
    <w:rsid w:val="45C33E33"/>
    <w:rsid w:val="45C40080"/>
    <w:rsid w:val="46B0228F"/>
    <w:rsid w:val="46CB3404"/>
    <w:rsid w:val="47122740"/>
    <w:rsid w:val="477E58F2"/>
    <w:rsid w:val="480756B2"/>
    <w:rsid w:val="491737F8"/>
    <w:rsid w:val="491E2A4E"/>
    <w:rsid w:val="49AF6EE7"/>
    <w:rsid w:val="49BC13C5"/>
    <w:rsid w:val="4A724516"/>
    <w:rsid w:val="4A886551"/>
    <w:rsid w:val="4AF9111B"/>
    <w:rsid w:val="4B63541B"/>
    <w:rsid w:val="4C9B3AB5"/>
    <w:rsid w:val="4CAA025E"/>
    <w:rsid w:val="4D293860"/>
    <w:rsid w:val="4D420C97"/>
    <w:rsid w:val="4D8378D0"/>
    <w:rsid w:val="4E52545C"/>
    <w:rsid w:val="4E8F13F8"/>
    <w:rsid w:val="4EB52EC6"/>
    <w:rsid w:val="4FD10ADB"/>
    <w:rsid w:val="4FF30F69"/>
    <w:rsid w:val="501A6478"/>
    <w:rsid w:val="502B1F79"/>
    <w:rsid w:val="50997FCD"/>
    <w:rsid w:val="50F8169F"/>
    <w:rsid w:val="51271DBC"/>
    <w:rsid w:val="517B3E21"/>
    <w:rsid w:val="51F803DB"/>
    <w:rsid w:val="524C7C78"/>
    <w:rsid w:val="54DE6D57"/>
    <w:rsid w:val="55835746"/>
    <w:rsid w:val="55E37B33"/>
    <w:rsid w:val="561B7D2E"/>
    <w:rsid w:val="56B13CD2"/>
    <w:rsid w:val="56C56341"/>
    <w:rsid w:val="572C784C"/>
    <w:rsid w:val="57F07118"/>
    <w:rsid w:val="592D3CE7"/>
    <w:rsid w:val="59AD30EF"/>
    <w:rsid w:val="59C633A7"/>
    <w:rsid w:val="5BEA10D4"/>
    <w:rsid w:val="5C490354"/>
    <w:rsid w:val="5D237A67"/>
    <w:rsid w:val="5D630856"/>
    <w:rsid w:val="5D8A7F0F"/>
    <w:rsid w:val="5E1611EE"/>
    <w:rsid w:val="5E3D66CB"/>
    <w:rsid w:val="5E8221E2"/>
    <w:rsid w:val="5E9860A7"/>
    <w:rsid w:val="5E9F52ED"/>
    <w:rsid w:val="5EA36BFC"/>
    <w:rsid w:val="5F811511"/>
    <w:rsid w:val="5FC746A1"/>
    <w:rsid w:val="60964868"/>
    <w:rsid w:val="61EF1753"/>
    <w:rsid w:val="622D0521"/>
    <w:rsid w:val="62EB34B8"/>
    <w:rsid w:val="639B162D"/>
    <w:rsid w:val="644E6E76"/>
    <w:rsid w:val="6512669E"/>
    <w:rsid w:val="65DA06A2"/>
    <w:rsid w:val="65E6134E"/>
    <w:rsid w:val="660C29D2"/>
    <w:rsid w:val="66A1151D"/>
    <w:rsid w:val="66E63727"/>
    <w:rsid w:val="67225A66"/>
    <w:rsid w:val="67DB4E07"/>
    <w:rsid w:val="67FE37E6"/>
    <w:rsid w:val="687B5BF6"/>
    <w:rsid w:val="68F7786A"/>
    <w:rsid w:val="692A2A06"/>
    <w:rsid w:val="6A0B6E5F"/>
    <w:rsid w:val="6A283207"/>
    <w:rsid w:val="6A87588C"/>
    <w:rsid w:val="6B725695"/>
    <w:rsid w:val="6BEC358E"/>
    <w:rsid w:val="6BF74198"/>
    <w:rsid w:val="6C64581A"/>
    <w:rsid w:val="6C6926BB"/>
    <w:rsid w:val="6D0A2E73"/>
    <w:rsid w:val="6D0E3953"/>
    <w:rsid w:val="6ED768F8"/>
    <w:rsid w:val="6FB95E7D"/>
    <w:rsid w:val="70CF2806"/>
    <w:rsid w:val="71B44B4E"/>
    <w:rsid w:val="722D14DA"/>
    <w:rsid w:val="72662C32"/>
    <w:rsid w:val="734C3750"/>
    <w:rsid w:val="74CF3A5A"/>
    <w:rsid w:val="74F3598D"/>
    <w:rsid w:val="756E22AB"/>
    <w:rsid w:val="75BD4C9A"/>
    <w:rsid w:val="76C27A63"/>
    <w:rsid w:val="76F84A54"/>
    <w:rsid w:val="77ED0A5E"/>
    <w:rsid w:val="7850116F"/>
    <w:rsid w:val="78AC177E"/>
    <w:rsid w:val="794C1499"/>
    <w:rsid w:val="79DA56EA"/>
    <w:rsid w:val="79E15FC9"/>
    <w:rsid w:val="7A0D1D19"/>
    <w:rsid w:val="7A282224"/>
    <w:rsid w:val="7A634F3C"/>
    <w:rsid w:val="7B407900"/>
    <w:rsid w:val="7B5C52D6"/>
    <w:rsid w:val="7B636223"/>
    <w:rsid w:val="7CC07BD9"/>
    <w:rsid w:val="7CF7655C"/>
    <w:rsid w:val="7D603DDC"/>
    <w:rsid w:val="7E133B8C"/>
    <w:rsid w:val="7E33329E"/>
    <w:rsid w:val="7E50529B"/>
    <w:rsid w:val="7ECD3662"/>
    <w:rsid w:val="7EE53852"/>
    <w:rsid w:val="7F9F6E3D"/>
    <w:rsid w:val="7FFA0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Block Text"/>
    <w:basedOn w:val="1"/>
    <w:next w:val="1"/>
    <w:autoRedefine/>
    <w:qFormat/>
    <w:uiPriority w:val="0"/>
    <w:pPr>
      <w:adjustRightInd w:val="0"/>
      <w:snapToGrid w:val="0"/>
      <w:spacing w:line="400" w:lineRule="exact"/>
      <w:ind w:left="13" w:leftChars="6" w:right="57" w:firstLine="480" w:firstLineChars="200"/>
    </w:pPr>
    <w:rPr>
      <w:sz w:val="24"/>
    </w:rPr>
  </w:style>
  <w:style w:type="paragraph" w:styleId="6">
    <w:name w:val="Body Text Indent 2"/>
    <w:basedOn w:val="1"/>
    <w:autoRedefine/>
    <w:qFormat/>
    <w:uiPriority w:val="0"/>
    <w:pPr>
      <w:spacing w:after="120" w:afterLines="0" w:line="480" w:lineRule="auto"/>
      <w:ind w:left="420" w:leftChars="200"/>
    </w:p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widowControl/>
      <w:spacing w:before="100" w:beforeAutospacing="1" w:after="100" w:afterAutospacing="1"/>
      <w:ind w:firstLine="0" w:firstLineChars="0"/>
    </w:pPr>
    <w:rPr>
      <w:rFonts w:ascii="宋体" w:hAnsi="宋体" w:eastAsia="宋体" w:cs="宋体"/>
      <w:sz w:val="24"/>
      <w:szCs w:val="24"/>
      <w:lang w:val="en-US" w:eastAsia="zh-CN"/>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正"/>
    <w:basedOn w:val="1"/>
    <w:autoRedefine/>
    <w:qFormat/>
    <w:uiPriority w:val="0"/>
    <w:pPr>
      <w:adjustRightInd w:val="0"/>
      <w:spacing w:line="360" w:lineRule="auto"/>
      <w:ind w:left="23" w:leftChars="11"/>
    </w:pPr>
  </w:style>
  <w:style w:type="paragraph" w:customStyle="1" w:styleId="15">
    <w:name w:val="表中内容"/>
    <w:basedOn w:val="1"/>
    <w:autoRedefine/>
    <w:qFormat/>
    <w:uiPriority w:val="0"/>
    <w:pPr>
      <w:ind w:firstLine="0" w:firstLineChars="0"/>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2236</Words>
  <Characters>2455</Characters>
  <Lines>0</Lines>
  <Paragraphs>0</Paragraphs>
  <TotalTime>1</TotalTime>
  <ScaleCrop>false</ScaleCrop>
  <LinksUpToDate>false</LinksUpToDate>
  <CharactersWithSpaces>2534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独倚南窗</cp:lastModifiedBy>
  <cp:lastPrinted>2024-02-26T00:33:00Z</cp:lastPrinted>
  <dcterms:modified xsi:type="dcterms:W3CDTF">2024-09-27T00:40:11Z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CF95F92321B042A5A937AF75D8AC63AD</vt:lpwstr>
  </property>
</Properties>
</file>